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3EBE8" w14:textId="30C61590" w:rsidR="00D10EB8" w:rsidRDefault="00D10EB8" w:rsidP="1A3A0883">
      <w:pPr>
        <w:pStyle w:val="Heading1"/>
        <w:spacing w:after="120"/>
      </w:pPr>
      <w:r>
        <w:rPr>
          <w:color w:val="FF0000"/>
        </w:rPr>
        <w:t xml:space="preserve">Exercice de simulation (avec scénario) : </w:t>
      </w:r>
      <w:r>
        <w:t>Le CEA dans les situations d’urgence en cas de déplacement des populations</w:t>
      </w:r>
    </w:p>
    <w:p w14:paraId="416A6E25" w14:textId="27598DAB" w:rsidR="1A3A0883" w:rsidRDefault="1A3A0883" w:rsidP="1A3A0883">
      <w:pPr>
        <w:pStyle w:val="Heading1"/>
        <w:rPr>
          <w:rFonts w:eastAsia="Montserrat" w:cs="Montserrat"/>
          <w:color w:val="000000" w:themeColor="text1"/>
          <w:sz w:val="32"/>
          <w:szCs w:val="32"/>
        </w:rPr>
      </w:pPr>
      <w:r>
        <w:rPr>
          <w:color w:val="000000" w:themeColor="text1"/>
          <w:sz w:val="32"/>
        </w:rPr>
        <w:t xml:space="preserve">TÂCHE 3 : Retour d'information de la communauté </w:t>
      </w:r>
    </w:p>
    <w:p w14:paraId="319CA121" w14:textId="77777777" w:rsidR="003A4920" w:rsidRPr="003A4920" w:rsidRDefault="003A4920" w:rsidP="003A4920">
      <w:pPr>
        <w:rPr>
          <w:lang w:eastAsia="x-none"/>
        </w:rPr>
      </w:pPr>
    </w:p>
    <w:p w14:paraId="5BDB9FE1" w14:textId="28FC1704" w:rsidR="1A3A0883" w:rsidRPr="003A4920" w:rsidRDefault="1A3A0883" w:rsidP="003A4920">
      <w:pPr>
        <w:rPr>
          <w:rFonts w:ascii="Open Sans" w:hAnsi="Open Sans" w:cs="Open Sans"/>
          <w:b/>
          <w:bCs/>
        </w:rPr>
      </w:pPr>
      <w:r>
        <w:rPr>
          <w:rFonts w:ascii="Open Sans" w:hAnsi="Open Sans"/>
          <w:b/>
        </w:rPr>
        <w:t>(20 min)</w:t>
      </w:r>
    </w:p>
    <w:p w14:paraId="06093A0E" w14:textId="061C0ACD" w:rsidR="1A3A0883" w:rsidRPr="003A4920" w:rsidRDefault="1A3A0883" w:rsidP="003A4920">
      <w:pPr>
        <w:rPr>
          <w:rFonts w:ascii="Open Sans" w:hAnsi="Open Sans" w:cs="Open Sans"/>
        </w:rPr>
      </w:pPr>
      <w:r>
        <w:rPr>
          <w:rFonts w:ascii="Open Sans" w:hAnsi="Open Sans"/>
        </w:rPr>
        <w:t>Le premier rapport de retour d'information de la communauté a été produit pour l'opération de déplacement de la population. Les principales conclusions sont les suivantes :</w:t>
      </w:r>
    </w:p>
    <w:p w14:paraId="7A7BE4B8" w14:textId="2394180D" w:rsidR="1A3A0883" w:rsidRPr="003A4920" w:rsidRDefault="1A3A0883" w:rsidP="003A4920">
      <w:pPr>
        <w:pStyle w:val="ListParagraph"/>
        <w:numPr>
          <w:ilvl w:val="0"/>
          <w:numId w:val="15"/>
        </w:numPr>
        <w:ind w:left="714" w:hanging="357"/>
        <w:contextualSpacing w:val="0"/>
        <w:rPr>
          <w:rFonts w:ascii="Open Sans" w:hAnsi="Open Sans" w:cs="Open Sans"/>
        </w:rPr>
      </w:pPr>
      <w:r>
        <w:rPr>
          <w:rFonts w:ascii="Open Sans" w:hAnsi="Open Sans"/>
        </w:rPr>
        <w:t>40 % des retours d'information provenaient de personnes demandant comment s'inscrire pour recevoir les allocations mensuelles en espèces</w:t>
      </w:r>
    </w:p>
    <w:p w14:paraId="2351EC10" w14:textId="02A070F2" w:rsidR="1A3A0883" w:rsidRPr="003A4920" w:rsidRDefault="1A3A0883" w:rsidP="003A4920">
      <w:pPr>
        <w:pStyle w:val="ListParagraph"/>
        <w:numPr>
          <w:ilvl w:val="0"/>
          <w:numId w:val="15"/>
        </w:numPr>
        <w:ind w:left="714" w:hanging="357"/>
        <w:contextualSpacing w:val="0"/>
        <w:rPr>
          <w:rFonts w:ascii="Open Sans" w:hAnsi="Open Sans" w:cs="Open Sans"/>
        </w:rPr>
      </w:pPr>
      <w:r>
        <w:rPr>
          <w:rFonts w:ascii="Open Sans" w:hAnsi="Open Sans"/>
        </w:rPr>
        <w:t>Les familles ont posé beaucoup de questions sur la manière d'accéder à leur allocation en espèces par le biais du système d'argent mobile. Beaucoup semblent rencontrer des difficultés avec le système</w:t>
      </w:r>
    </w:p>
    <w:p w14:paraId="0A16B479" w14:textId="0A798EDF" w:rsidR="1A3A0883" w:rsidRPr="003A4920" w:rsidRDefault="1A3A0883" w:rsidP="003A4920">
      <w:pPr>
        <w:pStyle w:val="ListParagraph"/>
        <w:numPr>
          <w:ilvl w:val="0"/>
          <w:numId w:val="15"/>
        </w:numPr>
        <w:ind w:left="714" w:hanging="357"/>
        <w:contextualSpacing w:val="0"/>
        <w:rPr>
          <w:rFonts w:ascii="Open Sans" w:hAnsi="Open Sans" w:cs="Open Sans"/>
        </w:rPr>
      </w:pPr>
      <w:r>
        <w:rPr>
          <w:rFonts w:ascii="Open Sans" w:hAnsi="Open Sans"/>
        </w:rPr>
        <w:t>Certains réfugiés ont rapporté que les dirigeants communautaires leur avaient demandé de l'argent pour être ajoutés à la liste des bénéficiaires de allocations en espèces</w:t>
      </w:r>
    </w:p>
    <w:p w14:paraId="1F66DEC4" w14:textId="64952781" w:rsidR="1A3A0883" w:rsidRPr="003A4920" w:rsidRDefault="1A3A0883" w:rsidP="003A4920">
      <w:pPr>
        <w:pStyle w:val="ListParagraph"/>
        <w:numPr>
          <w:ilvl w:val="0"/>
          <w:numId w:val="15"/>
        </w:numPr>
        <w:ind w:left="714" w:hanging="357"/>
        <w:contextualSpacing w:val="0"/>
        <w:rPr>
          <w:rFonts w:ascii="Open Sans" w:hAnsi="Open Sans" w:cs="Open Sans"/>
        </w:rPr>
      </w:pPr>
      <w:r>
        <w:rPr>
          <w:rFonts w:ascii="Open Sans" w:hAnsi="Open Sans"/>
        </w:rPr>
        <w:t xml:space="preserve">Selon de nouvelles rumeurs, l'eau des points d'eau du camp principal de réfugiés provoquerait des diarrhées </w:t>
      </w:r>
    </w:p>
    <w:p w14:paraId="7577299E" w14:textId="0AAB1032" w:rsidR="1A3A0883" w:rsidRPr="003A4920" w:rsidRDefault="1A3A0883" w:rsidP="003A4920">
      <w:pPr>
        <w:pStyle w:val="ListParagraph"/>
        <w:numPr>
          <w:ilvl w:val="0"/>
          <w:numId w:val="15"/>
        </w:numPr>
        <w:ind w:left="714" w:hanging="357"/>
        <w:contextualSpacing w:val="0"/>
        <w:rPr>
          <w:rFonts w:ascii="Open Sans" w:hAnsi="Open Sans" w:cs="Open Sans"/>
        </w:rPr>
      </w:pPr>
      <w:r>
        <w:rPr>
          <w:rFonts w:ascii="Open Sans" w:hAnsi="Open Sans"/>
        </w:rPr>
        <w:t>Il y a eu beaucoup de demandes sur la façon de s'inscrire pour les distributions de nourriture du PAM</w:t>
      </w:r>
    </w:p>
    <w:p w14:paraId="3C8085C5" w14:textId="138DA711" w:rsidR="1A3A0883" w:rsidRPr="003A4920" w:rsidRDefault="1A3A0883" w:rsidP="003A4920">
      <w:pPr>
        <w:pStyle w:val="ListParagraph"/>
        <w:numPr>
          <w:ilvl w:val="0"/>
          <w:numId w:val="15"/>
        </w:numPr>
        <w:ind w:left="714" w:hanging="357"/>
        <w:contextualSpacing w:val="0"/>
        <w:rPr>
          <w:rFonts w:ascii="Open Sans" w:hAnsi="Open Sans" w:cs="Open Sans"/>
        </w:rPr>
      </w:pPr>
      <w:r>
        <w:rPr>
          <w:rFonts w:ascii="Open Sans" w:hAnsi="Open Sans"/>
        </w:rPr>
        <w:t>70 % des retours d'information proviennent des hommes</w:t>
      </w:r>
    </w:p>
    <w:p w14:paraId="50BF37F8" w14:textId="7503B625" w:rsidR="1A3A0883" w:rsidRPr="003A4920" w:rsidRDefault="1A3A0883" w:rsidP="003A4920">
      <w:pPr>
        <w:pStyle w:val="ListParagraph"/>
        <w:numPr>
          <w:ilvl w:val="0"/>
          <w:numId w:val="15"/>
        </w:numPr>
        <w:ind w:left="714" w:hanging="357"/>
        <w:contextualSpacing w:val="0"/>
        <w:rPr>
          <w:rFonts w:ascii="Open Sans" w:hAnsi="Open Sans" w:cs="Open Sans"/>
        </w:rPr>
      </w:pPr>
      <w:r>
        <w:rPr>
          <w:rFonts w:ascii="Open Sans" w:hAnsi="Open Sans"/>
        </w:rPr>
        <w:t>20 % de tous les retours d'information ont reçu une réponse directe de la part des bénévoles, 40 % ont fait l'objet d'un suivi et d'une réponse ultérieure et 40 % sont toujours en attente d'une réponse</w:t>
      </w:r>
    </w:p>
    <w:p w14:paraId="1A636AF3" w14:textId="4FA5C389" w:rsidR="1A3A0883" w:rsidRPr="003A4920" w:rsidRDefault="1A3A0883" w:rsidP="003A4920">
      <w:pPr>
        <w:rPr>
          <w:rFonts w:ascii="Open Sans" w:hAnsi="Open Sans" w:cs="Open Sans"/>
        </w:rPr>
      </w:pPr>
    </w:p>
    <w:p w14:paraId="50A1F225" w14:textId="740931A2" w:rsidR="1A3A0883" w:rsidRPr="003A4920" w:rsidRDefault="1A3A0883" w:rsidP="003A4920">
      <w:pPr>
        <w:rPr>
          <w:rFonts w:ascii="Open Sans" w:hAnsi="Open Sans" w:cs="Open Sans"/>
        </w:rPr>
      </w:pPr>
      <w:r>
        <w:rPr>
          <w:rFonts w:ascii="Open Sans" w:hAnsi="Open Sans"/>
        </w:rPr>
        <w:t>Le responsable de la gestion des catastrophes vous a demandé :</w:t>
      </w:r>
    </w:p>
    <w:p w14:paraId="24FD4F02" w14:textId="77777777" w:rsidR="00F013B7" w:rsidRDefault="00F013B7" w:rsidP="00F013B7">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Quelles questions ce retour d'information soulève-t-il et que pourrait faire l'opération pour y donner suite ? </w:t>
      </w:r>
    </w:p>
    <w:p w14:paraId="24CCD7FE" w14:textId="77777777" w:rsidR="00F013B7" w:rsidRDefault="00F013B7" w:rsidP="00F013B7">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Quelles mesures pratiques l'opération pourrait-elle mettre en place pour s'assurer que tous les retours d'information sont discutés et traités en interne ?</w:t>
      </w:r>
    </w:p>
    <w:p w14:paraId="57510F94" w14:textId="0F650A8C" w:rsidR="39FD21FE" w:rsidRDefault="009C4FBB" w:rsidP="0075132C">
      <w:r>
        <w:rPr>
          <w:rFonts w:ascii="Open Sans" w:hAnsi="Open Sans"/>
          <w:color w:val="000000" w:themeColor="text1"/>
        </w:rPr>
        <w:lastRenderedPageBreak/>
        <w:t xml:space="preserve">Utilisez le </w:t>
      </w:r>
      <w:hyperlink r:id="rId11" w:history="1">
        <w:r>
          <w:rPr>
            <w:rStyle w:val="Hyperlink"/>
            <w:rFonts w:ascii="Open Sans" w:hAnsi="Open Sans"/>
          </w:rPr>
          <w:t xml:space="preserve">module 6 dans le guide CEA </w:t>
        </w:r>
      </w:hyperlink>
      <w:r>
        <w:rPr>
          <w:rFonts w:ascii="Open Sans" w:hAnsi="Open Sans"/>
          <w:color w:val="000000" w:themeColor="text1"/>
        </w:rPr>
        <w:t xml:space="preserve"> et l’</w:t>
      </w:r>
      <w:hyperlink r:id="rId12" w:history="1">
        <w:r>
          <w:rPr>
            <w:rStyle w:val="Hyperlink"/>
            <w:rFonts w:ascii="Open Sans" w:hAnsi="Open Sans"/>
          </w:rPr>
          <w:t>outil 15 :</w:t>
        </w:r>
      </w:hyperlink>
      <w:hyperlink r:id="rId13" w:history="1">
        <w:r>
          <w:rPr>
            <w:rStyle w:val="Hyperlink"/>
            <w:rFonts w:ascii="Open Sans" w:hAnsi="Open Sans"/>
          </w:rPr>
          <w:t xml:space="preserve"> Kit de retour d'information</w:t>
        </w:r>
      </w:hyperlink>
      <w:r>
        <w:rPr>
          <w:rFonts w:ascii="Open Sans" w:hAnsi="Open Sans"/>
          <w:color w:val="000000" w:themeColor="text1"/>
        </w:rPr>
        <w:t xml:space="preserve"> pour vous aider.</w:t>
      </w:r>
    </w:p>
    <w:p w14:paraId="32525608" w14:textId="77777777" w:rsidR="0075132C" w:rsidRDefault="0075132C" w:rsidP="0075132C"/>
    <w:p w14:paraId="25AEDAA0" w14:textId="0170248D" w:rsidR="001A06DD" w:rsidRPr="00817E26" w:rsidRDefault="003A4920" w:rsidP="00817E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4"/>
          <w:szCs w:val="24"/>
        </w:rPr>
      </w:pPr>
      <w:r>
        <w:rPr>
          <w:rFonts w:ascii="Open Sans" w:hAnsi="Open Sans"/>
          <w:b/>
          <w:color w:val="000000" w:themeColor="text1"/>
          <w:sz w:val="24"/>
        </w:rPr>
        <w:lastRenderedPageBreak/>
        <w:t>Rappel des informations partagées précédemment :</w:t>
      </w:r>
    </w:p>
    <w:p w14:paraId="10DCC17A" w14:textId="03D58E85" w:rsidR="00FB303E" w:rsidRDefault="00FB303E" w:rsidP="00FB303E">
      <w:pPr>
        <w:rPr>
          <w:rFonts w:ascii="Open Sans" w:hAnsi="Open Sans" w:cs="Open Sans"/>
        </w:rPr>
      </w:pPr>
      <w:r>
        <w:rPr>
          <w:rFonts w:ascii="Arial" w:hAnsi="Arial"/>
          <w:noProof/>
        </w:rPr>
        <w:drawing>
          <wp:anchor distT="0" distB="0" distL="114300" distR="114300" simplePos="0" relativeHeight="251660288" behindDoc="0" locked="0" layoutInCell="1" allowOverlap="1" wp14:anchorId="5AFFC7CA" wp14:editId="6A51D0BB">
            <wp:simplePos x="0" y="0"/>
            <wp:positionH relativeFrom="column">
              <wp:posOffset>0</wp:posOffset>
            </wp:positionH>
            <wp:positionV relativeFrom="paragraph">
              <wp:posOffset>51435</wp:posOffset>
            </wp:positionV>
            <wp:extent cx="2735580" cy="1532890"/>
            <wp:effectExtent l="0" t="0" r="0" b="3810"/>
            <wp:wrapSquare wrapText="bothSides"/>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14">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Open Sans" w:hAnsi="Open Sans"/>
        </w:rPr>
        <w:t xml:space="preserve">Les troubles civils provoqués par les prochaines élections présidentielles à </w:t>
      </w:r>
      <w:proofErr w:type="spellStart"/>
      <w:r>
        <w:rPr>
          <w:rFonts w:ascii="Open Sans" w:hAnsi="Open Sans"/>
        </w:rPr>
        <w:t>Nepturnia</w:t>
      </w:r>
      <w:proofErr w:type="spellEnd"/>
      <w:r>
        <w:rPr>
          <w:rFonts w:ascii="Open Sans" w:hAnsi="Open Sans"/>
        </w:rPr>
        <w:t xml:space="preserve"> ont poussé environ 25 000 réfugiés à traverser la frontière d’Alexa du Nord-Est au cours du mois dernier. La plupart des réfugiés sont hébergés dans un camp de réfugiés situé à l'extérieur de la ville de </w:t>
      </w:r>
      <w:proofErr w:type="spellStart"/>
      <w:r>
        <w:rPr>
          <w:rFonts w:ascii="Open Sans" w:hAnsi="Open Sans"/>
        </w:rPr>
        <w:t>Sajin</w:t>
      </w:r>
      <w:proofErr w:type="spellEnd"/>
      <w:r>
        <w:rPr>
          <w:rFonts w:ascii="Open Sans" w:hAnsi="Open Sans"/>
        </w:rPr>
        <w:t xml:space="preserve">, mais on estime qu'environ 3000 d'entre eux sont hébergés dans des familles d'accueil dans la région. </w:t>
      </w:r>
    </w:p>
    <w:p w14:paraId="1AF6576A" w14:textId="3B641F67" w:rsidR="0076704B" w:rsidRDefault="00FD2189" w:rsidP="0076704B">
      <w:pPr>
        <w:spacing w:line="276" w:lineRule="auto"/>
        <w:ind w:right="-52"/>
        <w:rPr>
          <w:rFonts w:ascii="Open Sans" w:hAnsi="Open Sans" w:cs="Open Sans"/>
        </w:rPr>
      </w:pPr>
      <w:r>
        <w:rPr>
          <w:rFonts w:ascii="Open Sans" w:hAnsi="Open Sans"/>
        </w:rPr>
        <w:t xml:space="preserve">Un grand nombre de ces réfugiés sont des femmes et des familles avec de jeunes enfants, des mineurs non accompagnés et des personnes âgées. Ils arrivent avec très peu de choses, ayant fui la situation et laissé la plupart de leurs biens derrière eux. À la suite d'une récente évaluation conjointe des besoins par le gouvernement </w:t>
      </w:r>
      <w:proofErr w:type="spellStart"/>
      <w:r>
        <w:rPr>
          <w:rFonts w:ascii="Open Sans" w:hAnsi="Open Sans"/>
        </w:rPr>
        <w:t>alexan</w:t>
      </w:r>
      <w:proofErr w:type="spellEnd"/>
      <w:r>
        <w:rPr>
          <w:rFonts w:ascii="Open Sans" w:hAnsi="Open Sans"/>
        </w:rPr>
        <w:t xml:space="preserve">, le HCR et le PAM, les Nations unies signalent que les principaux besoins sont la nourriture, les abris, l'eau, l'assainissement et l'hygiène, ainsi que l'accès aux soins de santé.  </w:t>
      </w:r>
    </w:p>
    <w:p w14:paraId="58150E27" w14:textId="0FA28253" w:rsidR="00051873" w:rsidRPr="000302CE" w:rsidRDefault="0076704B" w:rsidP="000302CE">
      <w:pPr>
        <w:spacing w:after="0" w:line="276" w:lineRule="auto"/>
        <w:ind w:right="-51"/>
        <w:rPr>
          <w:rFonts w:ascii="Open Sans" w:hAnsi="Open Sans" w:cs="Open Sans"/>
        </w:rPr>
      </w:pPr>
      <w:r>
        <w:rPr>
          <w:rFonts w:ascii="Open Sans" w:hAnsi="Open Sans"/>
        </w:rPr>
        <w:t xml:space="preserve">La Croix-Rouge d’Alexa (CRA) a lancé une opération de déplacement de la population, qui comprend une aide en espèces, la promotion de la santé et de l'hygiène, ainsi que la construction de latrines et de points d'eau dans le principal camp de réfugiés. La CRA mobilise du personnel et des volontaires de toute l'Alexa pour soutenir l'opération et on ne sait pas exactement combien d'entre eux ont une formation ou une expérience du CEA. La CRA a une expérience de travail dans cette région par le biais du programme de résilience communautaire et a mis en œuvre des transferts d'argent liquide lors de précédentes opérations d'urgence. Cependant, le personnel et les bénévoles des antennes de cette région n'ont pas l'expérience de l'assistance en espèces. </w:t>
      </w:r>
    </w:p>
    <w:p w14:paraId="20F388BF" w14:textId="77777777" w:rsidR="000302CE" w:rsidRDefault="000302CE" w:rsidP="000302CE">
      <w:pPr>
        <w:spacing w:after="0" w:line="276" w:lineRule="auto"/>
        <w:ind w:right="-51"/>
        <w:rPr>
          <w:rFonts w:ascii="Open Sans" w:hAnsi="Open Sans" w:cs="Open Sans"/>
          <w:b/>
          <w:bCs/>
        </w:rPr>
      </w:pPr>
    </w:p>
    <w:p w14:paraId="4524A711" w14:textId="290E3427" w:rsidR="00247C96" w:rsidRDefault="00051873" w:rsidP="001A06DD">
      <w:pPr>
        <w:spacing w:line="276" w:lineRule="auto"/>
        <w:ind w:right="-52"/>
        <w:rPr>
          <w:rFonts w:ascii="Open Sans" w:hAnsi="Open Sans" w:cs="Open Sans"/>
          <w:b/>
          <w:bCs/>
        </w:rPr>
      </w:pPr>
      <w:r>
        <w:rPr>
          <w:rFonts w:ascii="Open Sans" w:hAnsi="Open Sans"/>
          <w:b/>
        </w:rPr>
        <w:t xml:space="preserve">Extrait d'un rapport de l'UNOCHA publié à l'approche des élections de </w:t>
      </w:r>
      <w:proofErr w:type="spellStart"/>
      <w:r>
        <w:rPr>
          <w:rFonts w:ascii="Open Sans" w:hAnsi="Open Sans"/>
          <w:b/>
        </w:rPr>
        <w:t>Nepturnia</w:t>
      </w:r>
      <w:proofErr w:type="spellEnd"/>
    </w:p>
    <w:p w14:paraId="534341BF" w14:textId="23FA344B" w:rsidR="0013389C" w:rsidRDefault="0013389C" w:rsidP="00350092">
      <w:pPr>
        <w:pStyle w:val="ListParagraph"/>
        <w:numPr>
          <w:ilvl w:val="0"/>
          <w:numId w:val="13"/>
        </w:numPr>
        <w:spacing w:after="120" w:line="276" w:lineRule="auto"/>
        <w:contextualSpacing w:val="0"/>
        <w:jc w:val="both"/>
        <w:rPr>
          <w:rFonts w:ascii="Open Sans" w:hAnsi="Open Sans" w:cs="Open Sans"/>
        </w:rPr>
      </w:pPr>
      <w:r>
        <w:rPr>
          <w:rFonts w:ascii="Open Sans" w:hAnsi="Open Sans"/>
        </w:rPr>
        <w:t xml:space="preserve">Il y a 8 groupes ethniques </w:t>
      </w:r>
      <w:proofErr w:type="spellStart"/>
      <w:r>
        <w:rPr>
          <w:rFonts w:ascii="Open Sans" w:hAnsi="Open Sans"/>
        </w:rPr>
        <w:t>érents</w:t>
      </w:r>
      <w:proofErr w:type="spellEnd"/>
      <w:r>
        <w:rPr>
          <w:rFonts w:ascii="Open Sans" w:hAnsi="Open Sans"/>
        </w:rPr>
        <w:t xml:space="preserve"> à </w:t>
      </w:r>
      <w:proofErr w:type="spellStart"/>
      <w:r>
        <w:rPr>
          <w:rFonts w:ascii="Open Sans" w:hAnsi="Open Sans"/>
        </w:rPr>
        <w:t>Nepturnia</w:t>
      </w:r>
      <w:proofErr w:type="spellEnd"/>
      <w:r>
        <w:rPr>
          <w:rFonts w:ascii="Open Sans" w:hAnsi="Open Sans"/>
        </w:rPr>
        <w:t>, et une série de langues et de dialectes différents sont parlés à travers le pays</w:t>
      </w:r>
    </w:p>
    <w:p w14:paraId="3DF00253" w14:textId="43EF6D5D" w:rsidR="00C94574" w:rsidRPr="00F01B52" w:rsidRDefault="00C94574" w:rsidP="00350092">
      <w:pPr>
        <w:pStyle w:val="ListParagraph"/>
        <w:numPr>
          <w:ilvl w:val="0"/>
          <w:numId w:val="13"/>
        </w:numPr>
        <w:spacing w:after="120" w:line="276" w:lineRule="auto"/>
        <w:contextualSpacing w:val="0"/>
        <w:jc w:val="both"/>
        <w:rPr>
          <w:rFonts w:ascii="Open Sans" w:hAnsi="Open Sans" w:cs="Open Sans"/>
        </w:rPr>
      </w:pPr>
      <w:proofErr w:type="spellStart"/>
      <w:r>
        <w:rPr>
          <w:rFonts w:ascii="Open Sans" w:hAnsi="Open Sans"/>
        </w:rPr>
        <w:t>Nepturnia</w:t>
      </w:r>
      <w:proofErr w:type="spellEnd"/>
      <w:r>
        <w:rPr>
          <w:rFonts w:ascii="Open Sans" w:hAnsi="Open Sans"/>
        </w:rPr>
        <w:t xml:space="preserve"> dispose d'un réseau très solide d'organisations de la société civile.</w:t>
      </w:r>
    </w:p>
    <w:p w14:paraId="6EE6A5DD" w14:textId="5B7062B1" w:rsidR="00051873" w:rsidRPr="00051873" w:rsidRDefault="00051873" w:rsidP="00350092">
      <w:pPr>
        <w:pStyle w:val="ListParagraph"/>
        <w:numPr>
          <w:ilvl w:val="0"/>
          <w:numId w:val="13"/>
        </w:numPr>
        <w:spacing w:after="120" w:line="276" w:lineRule="auto"/>
        <w:contextualSpacing w:val="0"/>
        <w:jc w:val="both"/>
        <w:rPr>
          <w:rFonts w:ascii="Open Sans" w:hAnsi="Open Sans" w:cs="Open Sans"/>
        </w:rPr>
      </w:pPr>
      <w:r>
        <w:rPr>
          <w:rFonts w:ascii="Open Sans" w:hAnsi="Open Sans"/>
        </w:rPr>
        <w:t xml:space="preserve">Le taux de possession de téléphones mobiles à </w:t>
      </w:r>
      <w:proofErr w:type="spellStart"/>
      <w:r>
        <w:rPr>
          <w:rFonts w:ascii="Open Sans" w:hAnsi="Open Sans"/>
        </w:rPr>
        <w:t>Nepturnia</w:t>
      </w:r>
      <w:proofErr w:type="spellEnd"/>
      <w:r>
        <w:rPr>
          <w:rFonts w:ascii="Open Sans" w:hAnsi="Open Sans"/>
        </w:rPr>
        <w:t xml:space="preserve"> est élevé, environ 80 %</w:t>
      </w:r>
    </w:p>
    <w:p w14:paraId="217601B4" w14:textId="655C976A" w:rsidR="00051873" w:rsidRPr="00051873" w:rsidRDefault="003B14A9" w:rsidP="00350092">
      <w:pPr>
        <w:pStyle w:val="ListParagraph"/>
        <w:numPr>
          <w:ilvl w:val="0"/>
          <w:numId w:val="13"/>
        </w:numPr>
        <w:spacing w:after="120" w:line="276" w:lineRule="auto"/>
        <w:contextualSpacing w:val="0"/>
        <w:jc w:val="both"/>
        <w:rPr>
          <w:rFonts w:ascii="Open Sans" w:hAnsi="Open Sans" w:cs="Open Sans"/>
        </w:rPr>
      </w:pPr>
      <w:r>
        <w:rPr>
          <w:rFonts w:ascii="Open Sans" w:hAnsi="Open Sans"/>
        </w:rPr>
        <w:t xml:space="preserve">Les femmes de </w:t>
      </w:r>
      <w:proofErr w:type="spellStart"/>
      <w:r>
        <w:rPr>
          <w:rFonts w:ascii="Open Sans" w:hAnsi="Open Sans"/>
        </w:rPr>
        <w:t>Nepturnia</w:t>
      </w:r>
      <w:proofErr w:type="spellEnd"/>
      <w:r>
        <w:rPr>
          <w:rFonts w:ascii="Open Sans" w:hAnsi="Open Sans"/>
        </w:rPr>
        <w:t xml:space="preserve"> travaillent souvent, occupent des postes de pouvoir et sont libres de s'exprimer et de participer à des événements publics. Les réseaux et groupes de femmes sont courants. </w:t>
      </w:r>
    </w:p>
    <w:p w14:paraId="59F16BD8" w14:textId="4A7F1659" w:rsidR="00931AD9" w:rsidRPr="002327CF" w:rsidRDefault="00EA6EFC" w:rsidP="00931AD9">
      <w:pPr>
        <w:spacing w:after="120" w:line="276" w:lineRule="auto"/>
        <w:rPr>
          <w:rFonts w:ascii="Arial" w:hAnsi="Arial"/>
          <w:b/>
        </w:rPr>
      </w:pPr>
      <w:r>
        <w:rPr>
          <w:rFonts w:ascii="Arial" w:hAnsi="Arial"/>
          <w:b/>
        </w:rPr>
        <w:t>Informations sur les médias et les communications en Alexa du Nord-Est</w:t>
      </w:r>
    </w:p>
    <w:p w14:paraId="1DC32180" w14:textId="4A28D839" w:rsidR="00931AD9" w:rsidRPr="00EA6EFC" w:rsidRDefault="00931AD9" w:rsidP="00350092">
      <w:pPr>
        <w:pStyle w:val="ListParagraph"/>
        <w:numPr>
          <w:ilvl w:val="0"/>
          <w:numId w:val="13"/>
        </w:numPr>
        <w:spacing w:after="120" w:line="276" w:lineRule="auto"/>
        <w:contextualSpacing w:val="0"/>
        <w:jc w:val="both"/>
        <w:rPr>
          <w:rFonts w:ascii="Open Sans" w:hAnsi="Open Sans" w:cs="Open Sans"/>
        </w:rPr>
      </w:pPr>
      <w:r>
        <w:rPr>
          <w:rFonts w:ascii="Open Sans" w:hAnsi="Open Sans"/>
        </w:rPr>
        <w:lastRenderedPageBreak/>
        <w:t xml:space="preserve">Il existe deux grands réseaux de téléphonie mobile, Mobile1 et </w:t>
      </w:r>
      <w:proofErr w:type="spellStart"/>
      <w:r>
        <w:rPr>
          <w:rFonts w:ascii="Open Sans" w:hAnsi="Open Sans"/>
        </w:rPr>
        <w:t>CalTel</w:t>
      </w:r>
      <w:proofErr w:type="spellEnd"/>
      <w:r>
        <w:rPr>
          <w:rFonts w:ascii="Open Sans" w:hAnsi="Open Sans"/>
        </w:rPr>
        <w:t>, qui ont tous deux une bonne couverture dans le nord-est d'Alexa</w:t>
      </w:r>
    </w:p>
    <w:p w14:paraId="61E8F1C8" w14:textId="1BFBE654" w:rsidR="00931AD9" w:rsidRDefault="00931AD9" w:rsidP="00350092">
      <w:pPr>
        <w:pStyle w:val="ListParagraph"/>
        <w:numPr>
          <w:ilvl w:val="0"/>
          <w:numId w:val="13"/>
        </w:numPr>
        <w:spacing w:after="120" w:line="276" w:lineRule="auto"/>
        <w:contextualSpacing w:val="0"/>
        <w:jc w:val="both"/>
        <w:rPr>
          <w:rFonts w:ascii="Open Sans" w:hAnsi="Open Sans" w:cs="Open Sans"/>
        </w:rPr>
      </w:pPr>
      <w:r>
        <w:rPr>
          <w:rFonts w:ascii="Open Sans" w:hAnsi="Open Sans"/>
        </w:rPr>
        <w:t>Il existe plusieurs stations de radio locales dans le Nord-Est, mais aucune ne couvre l'ensemble de la région, à l'exception de la station gouvernementale ABC (Alexa Broadcasting Corporation). Toutes les stations diffusent dans la langue nationale, l’</w:t>
      </w:r>
      <w:proofErr w:type="spellStart"/>
      <w:r>
        <w:rPr>
          <w:rFonts w:ascii="Open Sans" w:hAnsi="Open Sans"/>
        </w:rPr>
        <w:t>alexan</w:t>
      </w:r>
      <w:proofErr w:type="spellEnd"/>
    </w:p>
    <w:p w14:paraId="1A0A2BD6" w14:textId="79E85934" w:rsidR="001415BA" w:rsidRPr="00CF5E4D" w:rsidRDefault="00EA6EFC" w:rsidP="39FD21FE">
      <w:pPr>
        <w:pStyle w:val="ListParagraph"/>
        <w:numPr>
          <w:ilvl w:val="0"/>
          <w:numId w:val="13"/>
        </w:numPr>
        <w:spacing w:after="120" w:line="276" w:lineRule="auto"/>
        <w:jc w:val="both"/>
        <w:rPr>
          <w:rFonts w:ascii="Open Sans" w:hAnsi="Open Sans" w:cs="Open Sans"/>
        </w:rPr>
      </w:pPr>
      <w:r>
        <w:rPr>
          <w:rFonts w:ascii="Open Sans" w:hAnsi="Open Sans"/>
        </w:rPr>
        <w:t xml:space="preserve">Les médias sociaux sont populaires dans les zones urbaines, mais l'accès à la 3G est inégal et peu fiable dans les zones rurales. </w:t>
      </w:r>
    </w:p>
    <w:sectPr w:rsidR="001415BA" w:rsidRPr="00CF5E4D" w:rsidSect="00D94EC6">
      <w:headerReference w:type="even" r:id="rId15"/>
      <w:headerReference w:type="default" r:id="rId16"/>
      <w:footerReference w:type="even" r:id="rId17"/>
      <w:footerReference w:type="default" r:id="rId18"/>
      <w:footerReference w:type="first" r:id="rId19"/>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8054C" w14:textId="77777777" w:rsidR="004947B9" w:rsidRDefault="004947B9">
      <w:pPr>
        <w:spacing w:after="0" w:line="240" w:lineRule="auto"/>
      </w:pPr>
      <w:r>
        <w:separator/>
      </w:r>
    </w:p>
  </w:endnote>
  <w:endnote w:type="continuationSeparator" w:id="0">
    <w:p w14:paraId="70E13832" w14:textId="77777777" w:rsidR="004947B9" w:rsidRDefault="00494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ontserrat">
    <w:altName w:val="Montserrat"/>
    <w:charset w:val="00"/>
    <w:family w:val="auto"/>
    <w:pitch w:val="variable"/>
    <w:sig w:usb0="2000020F" w:usb1="00000003" w:usb2="00000000" w:usb3="00000000" w:csb0="00000197" w:csb1="00000000"/>
  </w:font>
  <w:font w:name="Roboto">
    <w:charset w:val="00"/>
    <w:family w:val="auto"/>
    <w:pitch w:val="variable"/>
    <w:sig w:usb0="E00002FF" w:usb1="5000205B" w:usb2="00000020" w:usb3="00000000" w:csb0="0000019F"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42739" w14:textId="3E854D5A" w:rsidR="00E94F85" w:rsidRDefault="00E94F85">
    <w:pPr>
      <w:pStyle w:val="Footer"/>
    </w:pPr>
    <w:r>
      <w:rPr>
        <w:noProof/>
      </w:rPr>
      <mc:AlternateContent>
        <mc:Choice Requires="wps">
          <w:drawing>
            <wp:anchor distT="0" distB="0" distL="0" distR="0" simplePos="0" relativeHeight="251661312" behindDoc="0" locked="0" layoutInCell="1" allowOverlap="1" wp14:anchorId="1AF53C0E" wp14:editId="49213F29">
              <wp:simplePos x="635" y="635"/>
              <wp:positionH relativeFrom="leftMargin">
                <wp:align>left</wp:align>
              </wp:positionH>
              <wp:positionV relativeFrom="paragraph">
                <wp:posOffset>635</wp:posOffset>
              </wp:positionV>
              <wp:extent cx="443865" cy="443865"/>
              <wp:effectExtent l="0" t="0" r="2540" b="17145"/>
              <wp:wrapSquare wrapText="bothSides"/>
              <wp:docPr id="4" name="Text Box 4"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845C8F" w14:textId="27DFA09C" w:rsidR="00E94F85" w:rsidRPr="00E94F85" w:rsidRDefault="00E94F85">
                          <w:pPr>
                            <w:rPr>
                              <w:rFonts w:ascii="Calibri" w:eastAsia="Calibri" w:hAnsi="Calibri" w:cs="Calibri"/>
                              <w:noProof/>
                              <w:color w:val="000000"/>
                              <w:sz w:val="20"/>
                              <w:szCs w:val="20"/>
                            </w:rPr>
                          </w:pPr>
                          <w:r>
                            <w:rPr>
                              <w:rFonts w:ascii="Calibri" w:hAnsi="Calibri"/>
                              <w:color w:val="000000"/>
                              <w:sz w:val="20"/>
                            </w:rPr>
                            <w:t>Restreint</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1AF53C0E">
              <v:stroke joinstyle="miter"/>
              <v:path gradientshapeok="t" o:connecttype="rect"/>
            </v:shapetype>
            <v:shape id="Text Box 4"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alt="Restricted"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E94F85" w:rsidR="00E94F85" w:rsidRDefault="00E94F85" w14:paraId="23845C8F" w14:textId="27DFA09C">
                    <w:pPr>
                      <w:rPr>
                        <w:noProof/>
                        <w:color w:val="000000"/>
                        <w:sz w:val="20"/>
                        <w:szCs w:val="20"/>
                        <w:rFonts w:ascii="Calibri" w:hAnsi="Calibri" w:eastAsia="Calibri" w:cs="Calibri"/>
                      </w:rPr>
                    </w:pPr>
                    <w:r>
                      <w:rPr>
                        <w:color w:val="000000"/>
                        <w:sz w:val="20"/>
                        <w:rFonts w:ascii="Calibri" w:hAnsi="Calibri"/>
                      </w:rPr>
                      <w:t xml:space="preserve">Restreint</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2840" w14:textId="3D2F5AA3" w:rsidR="00E94F85" w:rsidRDefault="00E94F85">
    <w:pPr>
      <w:pStyle w:val="Footer"/>
    </w:pPr>
    <w:r>
      <w:rPr>
        <w:noProof/>
      </w:rPr>
      <mc:AlternateContent>
        <mc:Choice Requires="wps">
          <w:drawing>
            <wp:anchor distT="0" distB="0" distL="0" distR="0" simplePos="0" relativeHeight="251662336" behindDoc="0" locked="0" layoutInCell="1" allowOverlap="1" wp14:anchorId="5CB4FE26" wp14:editId="287A949B">
              <wp:simplePos x="635" y="635"/>
              <wp:positionH relativeFrom="leftMargin">
                <wp:align>left</wp:align>
              </wp:positionH>
              <wp:positionV relativeFrom="paragraph">
                <wp:posOffset>635</wp:posOffset>
              </wp:positionV>
              <wp:extent cx="443865" cy="443865"/>
              <wp:effectExtent l="0" t="0" r="2540" b="17145"/>
              <wp:wrapSquare wrapText="bothSides"/>
              <wp:docPr id="5" name="Text Box 5"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1856A9" w14:textId="5BC17A38" w:rsidR="00E94F85" w:rsidRPr="00E94F85" w:rsidRDefault="00E94F85">
                          <w:pPr>
                            <w:rPr>
                              <w:rFonts w:ascii="Calibri" w:eastAsia="Calibri" w:hAnsi="Calibri" w:cs="Calibri"/>
                              <w:noProof/>
                              <w:color w:val="000000"/>
                              <w:sz w:val="20"/>
                              <w:szCs w:val="20"/>
                            </w:rPr>
                          </w:pPr>
                          <w:r>
                            <w:rPr>
                              <w:rFonts w:ascii="Calibri" w:hAnsi="Calibri"/>
                              <w:color w:val="000000"/>
                              <w:sz w:val="20"/>
                            </w:rPr>
                            <w:t>Restreint</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5CB4FE26">
              <v:stroke joinstyle="miter"/>
              <v:path gradientshapeok="t" o:connecttype="rect"/>
            </v:shapetype>
            <v:shape id="Text Box 5"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alt="Restricted"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E94F85" w:rsidR="00E94F85" w:rsidRDefault="00E94F85" w14:paraId="571856A9" w14:textId="5BC17A38">
                    <w:pPr>
                      <w:rPr>
                        <w:noProof/>
                        <w:color w:val="000000"/>
                        <w:sz w:val="20"/>
                        <w:szCs w:val="20"/>
                        <w:rFonts w:ascii="Calibri" w:hAnsi="Calibri" w:eastAsia="Calibri" w:cs="Calibri"/>
                      </w:rPr>
                    </w:pPr>
                    <w:r>
                      <w:rPr>
                        <w:color w:val="000000"/>
                        <w:sz w:val="20"/>
                        <w:rFonts w:ascii="Calibri" w:hAnsi="Calibri"/>
                      </w:rPr>
                      <w:t xml:space="preserve">Restreint</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B4C5" w14:textId="1B91BF16" w:rsidR="00E94F85" w:rsidRDefault="00E94F85">
    <w:pPr>
      <w:pStyle w:val="Footer"/>
    </w:pPr>
    <w:r>
      <w:rPr>
        <w:noProof/>
      </w:rPr>
      <mc:AlternateContent>
        <mc:Choice Requires="wps">
          <w:drawing>
            <wp:anchor distT="0" distB="0" distL="0" distR="0" simplePos="0" relativeHeight="251660288" behindDoc="0" locked="0" layoutInCell="1" allowOverlap="1" wp14:anchorId="415C689D" wp14:editId="4E8A6C2B">
              <wp:simplePos x="635" y="635"/>
              <wp:positionH relativeFrom="leftMargin">
                <wp:align>left</wp:align>
              </wp:positionH>
              <wp:positionV relativeFrom="paragraph">
                <wp:posOffset>635</wp:posOffset>
              </wp:positionV>
              <wp:extent cx="443865" cy="443865"/>
              <wp:effectExtent l="0" t="0" r="2540" b="17145"/>
              <wp:wrapSquare wrapText="bothSides"/>
              <wp:docPr id="3" name="Text Box 3"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429893" w14:textId="12E3F714" w:rsidR="00E94F85" w:rsidRPr="00E94F85" w:rsidRDefault="00E94F85">
                          <w:pPr>
                            <w:rPr>
                              <w:rFonts w:ascii="Calibri" w:eastAsia="Calibri" w:hAnsi="Calibri" w:cs="Calibri"/>
                              <w:noProof/>
                              <w:color w:val="000000"/>
                              <w:sz w:val="20"/>
                              <w:szCs w:val="20"/>
                            </w:rPr>
                          </w:pPr>
                          <w:r>
                            <w:rPr>
                              <w:rFonts w:ascii="Calibri" w:hAnsi="Calibri"/>
                              <w:color w:val="000000"/>
                              <w:sz w:val="20"/>
                            </w:rPr>
                            <w:t>Restreint</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415C689D">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Restricted"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E94F85" w:rsidR="00E94F85" w:rsidRDefault="00E94F85" w14:paraId="21429893" w14:textId="12E3F714">
                    <w:pPr>
                      <w:rPr>
                        <w:noProof/>
                        <w:color w:val="000000"/>
                        <w:sz w:val="20"/>
                        <w:szCs w:val="20"/>
                        <w:rFonts w:ascii="Calibri" w:hAnsi="Calibri" w:eastAsia="Calibri" w:cs="Calibri"/>
                      </w:rPr>
                    </w:pPr>
                    <w:r>
                      <w:rPr>
                        <w:color w:val="000000"/>
                        <w:sz w:val="20"/>
                        <w:rFonts w:ascii="Calibri" w:hAnsi="Calibri"/>
                      </w:rPr>
                      <w:t xml:space="preserve">Restreint</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2FE88" w14:textId="77777777" w:rsidR="004947B9" w:rsidRDefault="004947B9">
      <w:pPr>
        <w:spacing w:after="0" w:line="240" w:lineRule="auto"/>
      </w:pPr>
      <w:r>
        <w:separator/>
      </w:r>
    </w:p>
  </w:footnote>
  <w:footnote w:type="continuationSeparator" w:id="0">
    <w:p w14:paraId="733143E1" w14:textId="77777777" w:rsidR="004947B9" w:rsidRDefault="004947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75132C">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0E5A4F" w14:paraId="73319964" w14:textId="77777777" w:rsidTr="008E025A">
      <w:trPr>
        <w:trHeight w:val="1244"/>
      </w:trPr>
      <w:tc>
        <w:tcPr>
          <w:tcW w:w="8663" w:type="dxa"/>
          <w:tcBorders>
            <w:top w:val="nil"/>
            <w:left w:val="nil"/>
            <w:bottom w:val="single" w:sz="4" w:space="0" w:color="000000"/>
          </w:tcBorders>
        </w:tcPr>
        <w:p w14:paraId="4C4826F1" w14:textId="773B4769" w:rsidR="000E5A4F" w:rsidRPr="0075132C" w:rsidRDefault="000E5A4F" w:rsidP="0075132C">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FFFFFF"/>
            </w:rPr>
          </w:pPr>
          <w:r>
            <w:rPr>
              <w:rFonts w:ascii="Montserrat" w:hAnsi="Montserrat"/>
              <w:b/>
              <w:noProof/>
              <w:color w:val="000000"/>
              <w:sz w:val="21"/>
            </w:rPr>
            <w:drawing>
              <wp:anchor distT="0" distB="0" distL="114300" distR="114300" simplePos="0" relativeHeight="251664384" behindDoc="1" locked="0" layoutInCell="1" allowOverlap="1" wp14:anchorId="50D67881" wp14:editId="4ED9CB59">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Pr>
              <w:rFonts w:ascii="Montserrat" w:hAnsi="Montserrat"/>
              <w:b/>
              <w:color w:val="000000"/>
              <w:sz w:val="24"/>
            </w:rPr>
            <w:t xml:space="preserve"> </w:t>
          </w:r>
        </w:p>
        <w:p w14:paraId="070AC671" w14:textId="77777777" w:rsidR="000E5A4F" w:rsidRDefault="000E5A4F" w:rsidP="0075132C">
          <w:pPr>
            <w:pBdr>
              <w:top w:val="nil"/>
              <w:left w:val="nil"/>
              <w:bottom w:val="nil"/>
              <w:right w:val="nil"/>
              <w:between w:val="nil"/>
            </w:pBdr>
            <w:tabs>
              <w:tab w:val="center" w:pos="4513"/>
              <w:tab w:val="right" w:pos="9026"/>
            </w:tabs>
            <w:spacing w:after="0" w:line="240" w:lineRule="auto"/>
            <w:ind w:left="2290"/>
            <w:jc w:val="right"/>
            <w:rPr>
              <w:rFonts w:ascii="Montserrat" w:eastAsia="Montserrat" w:hAnsi="Montserrat" w:cs="Montserrat"/>
              <w:b/>
              <w:color w:val="000000"/>
              <w:sz w:val="21"/>
              <w:szCs w:val="21"/>
            </w:rPr>
          </w:pPr>
          <w:r>
            <w:rPr>
              <w:rFonts w:ascii="Montserrat" w:hAnsi="Montserrat"/>
              <w:b/>
              <w:color w:val="000000"/>
              <w:sz w:val="21"/>
            </w:rPr>
            <w:t>Formation sur l’engagement communautaire et la redevabilité</w:t>
          </w:r>
        </w:p>
        <w:p w14:paraId="10E42477" w14:textId="77777777" w:rsidR="0075132C" w:rsidRDefault="000E5A4F" w:rsidP="0075132C">
          <w:pPr>
            <w:pBdr>
              <w:top w:val="nil"/>
              <w:left w:val="nil"/>
              <w:bottom w:val="nil"/>
              <w:right w:val="nil"/>
              <w:between w:val="nil"/>
            </w:pBdr>
            <w:tabs>
              <w:tab w:val="center" w:pos="4513"/>
              <w:tab w:val="right" w:pos="9026"/>
            </w:tabs>
            <w:spacing w:after="0" w:line="240" w:lineRule="auto"/>
            <w:ind w:left="2290"/>
            <w:jc w:val="right"/>
            <w:rPr>
              <w:rFonts w:ascii="Montserrat" w:hAnsi="Montserrat"/>
              <w:color w:val="000000"/>
              <w:sz w:val="21"/>
            </w:rPr>
          </w:pPr>
          <w:r>
            <w:rPr>
              <w:rFonts w:ascii="Montserrat" w:hAnsi="Montserrat"/>
              <w:color w:val="000000"/>
              <w:sz w:val="21"/>
            </w:rPr>
            <w:t xml:space="preserve">Scénario sur le CEA dans les situations d'urgence </w:t>
          </w:r>
        </w:p>
        <w:p w14:paraId="436B9D31" w14:textId="382F7D3B" w:rsidR="008E025A" w:rsidRPr="002D7921" w:rsidRDefault="000E5A4F" w:rsidP="0075132C">
          <w:pPr>
            <w:pBdr>
              <w:top w:val="nil"/>
              <w:left w:val="nil"/>
              <w:bottom w:val="nil"/>
              <w:right w:val="nil"/>
              <w:between w:val="nil"/>
            </w:pBdr>
            <w:tabs>
              <w:tab w:val="center" w:pos="4513"/>
              <w:tab w:val="right" w:pos="9026"/>
            </w:tabs>
            <w:spacing w:after="0" w:line="240" w:lineRule="auto"/>
            <w:ind w:left="2290"/>
            <w:jc w:val="right"/>
            <w:rPr>
              <w:rFonts w:ascii="Montserrat" w:eastAsia="Montserrat" w:hAnsi="Montserrat" w:cs="Montserrat"/>
              <w:color w:val="000000"/>
              <w:sz w:val="21"/>
              <w:szCs w:val="21"/>
            </w:rPr>
          </w:pPr>
          <w:r>
            <w:rPr>
              <w:rFonts w:ascii="Montserrat" w:hAnsi="Montserrat"/>
              <w:color w:val="000000"/>
              <w:sz w:val="21"/>
            </w:rPr>
            <w:t>- document à l’usage des participants</w:t>
          </w:r>
        </w:p>
      </w:tc>
      <w:tc>
        <w:tcPr>
          <w:tcW w:w="409" w:type="dxa"/>
          <w:tcBorders>
            <w:top w:val="nil"/>
            <w:bottom w:val="single" w:sz="4" w:space="0" w:color="C55911"/>
          </w:tcBorders>
          <w:shd w:val="clear" w:color="auto" w:fill="FF0000"/>
          <w:vAlign w:val="bottom"/>
        </w:tcPr>
        <w:p w14:paraId="127A26DD" w14:textId="77777777" w:rsidR="000E5A4F" w:rsidRDefault="000E5A4F" w:rsidP="000E5A4F">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DB8DD1"/>
    <w:multiLevelType w:val="hybridMultilevel"/>
    <w:tmpl w:val="756043FA"/>
    <w:lvl w:ilvl="0" w:tplc="4AB459F8">
      <w:start w:val="1"/>
      <w:numFmt w:val="decimal"/>
      <w:lvlText w:val="%1."/>
      <w:lvlJc w:val="left"/>
      <w:pPr>
        <w:ind w:left="720" w:hanging="360"/>
      </w:pPr>
    </w:lvl>
    <w:lvl w:ilvl="1" w:tplc="D8DAC2F0">
      <w:start w:val="1"/>
      <w:numFmt w:val="lowerLetter"/>
      <w:lvlText w:val="%2."/>
      <w:lvlJc w:val="left"/>
      <w:pPr>
        <w:ind w:left="1440" w:hanging="360"/>
      </w:pPr>
    </w:lvl>
    <w:lvl w:ilvl="2" w:tplc="1DB871C8">
      <w:start w:val="1"/>
      <w:numFmt w:val="lowerRoman"/>
      <w:lvlText w:val="%3."/>
      <w:lvlJc w:val="right"/>
      <w:pPr>
        <w:ind w:left="2160" w:hanging="180"/>
      </w:pPr>
    </w:lvl>
    <w:lvl w:ilvl="3" w:tplc="8B0CF650">
      <w:start w:val="1"/>
      <w:numFmt w:val="decimal"/>
      <w:lvlText w:val="%4."/>
      <w:lvlJc w:val="left"/>
      <w:pPr>
        <w:ind w:left="2880" w:hanging="360"/>
      </w:pPr>
    </w:lvl>
    <w:lvl w:ilvl="4" w:tplc="E6226B7C">
      <w:start w:val="1"/>
      <w:numFmt w:val="lowerLetter"/>
      <w:lvlText w:val="%5."/>
      <w:lvlJc w:val="left"/>
      <w:pPr>
        <w:ind w:left="3600" w:hanging="360"/>
      </w:pPr>
    </w:lvl>
    <w:lvl w:ilvl="5" w:tplc="CE3C9260">
      <w:start w:val="1"/>
      <w:numFmt w:val="lowerRoman"/>
      <w:lvlText w:val="%6."/>
      <w:lvlJc w:val="right"/>
      <w:pPr>
        <w:ind w:left="4320" w:hanging="180"/>
      </w:pPr>
    </w:lvl>
    <w:lvl w:ilvl="6" w:tplc="FCC01268">
      <w:start w:val="1"/>
      <w:numFmt w:val="decimal"/>
      <w:lvlText w:val="%7."/>
      <w:lvlJc w:val="left"/>
      <w:pPr>
        <w:ind w:left="5040" w:hanging="360"/>
      </w:pPr>
    </w:lvl>
    <w:lvl w:ilvl="7" w:tplc="95D803FA">
      <w:start w:val="1"/>
      <w:numFmt w:val="lowerLetter"/>
      <w:lvlText w:val="%8."/>
      <w:lvlJc w:val="left"/>
      <w:pPr>
        <w:ind w:left="5760" w:hanging="360"/>
      </w:pPr>
    </w:lvl>
    <w:lvl w:ilvl="8" w:tplc="F3E4205A">
      <w:start w:val="1"/>
      <w:numFmt w:val="lowerRoman"/>
      <w:lvlText w:val="%9."/>
      <w:lvlJc w:val="right"/>
      <w:pPr>
        <w:ind w:left="6480" w:hanging="180"/>
      </w:pPr>
    </w:lvl>
  </w:abstractNum>
  <w:abstractNum w:abstractNumId="2"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51E08D"/>
    <w:multiLevelType w:val="hybridMultilevel"/>
    <w:tmpl w:val="7ADCEF2E"/>
    <w:lvl w:ilvl="0" w:tplc="6C92B6DE">
      <w:start w:val="1"/>
      <w:numFmt w:val="bullet"/>
      <w:lvlText w:val=""/>
      <w:lvlJc w:val="left"/>
      <w:pPr>
        <w:ind w:left="720" w:hanging="360"/>
      </w:pPr>
      <w:rPr>
        <w:rFonts w:ascii="Symbol" w:hAnsi="Symbol" w:hint="default"/>
      </w:rPr>
    </w:lvl>
    <w:lvl w:ilvl="1" w:tplc="D00E5536">
      <w:start w:val="1"/>
      <w:numFmt w:val="bullet"/>
      <w:lvlText w:val="o"/>
      <w:lvlJc w:val="left"/>
      <w:pPr>
        <w:ind w:left="1440" w:hanging="360"/>
      </w:pPr>
      <w:rPr>
        <w:rFonts w:ascii="Courier New" w:hAnsi="Courier New" w:hint="default"/>
      </w:rPr>
    </w:lvl>
    <w:lvl w:ilvl="2" w:tplc="692C3AF0">
      <w:start w:val="1"/>
      <w:numFmt w:val="bullet"/>
      <w:lvlText w:val=""/>
      <w:lvlJc w:val="left"/>
      <w:pPr>
        <w:ind w:left="2160" w:hanging="360"/>
      </w:pPr>
      <w:rPr>
        <w:rFonts w:ascii="Wingdings" w:hAnsi="Wingdings" w:hint="default"/>
      </w:rPr>
    </w:lvl>
    <w:lvl w:ilvl="3" w:tplc="8A0C6D82">
      <w:start w:val="1"/>
      <w:numFmt w:val="bullet"/>
      <w:lvlText w:val=""/>
      <w:lvlJc w:val="left"/>
      <w:pPr>
        <w:ind w:left="2880" w:hanging="360"/>
      </w:pPr>
      <w:rPr>
        <w:rFonts w:ascii="Symbol" w:hAnsi="Symbol" w:hint="default"/>
      </w:rPr>
    </w:lvl>
    <w:lvl w:ilvl="4" w:tplc="742A0E1C">
      <w:start w:val="1"/>
      <w:numFmt w:val="bullet"/>
      <w:lvlText w:val="o"/>
      <w:lvlJc w:val="left"/>
      <w:pPr>
        <w:ind w:left="3600" w:hanging="360"/>
      </w:pPr>
      <w:rPr>
        <w:rFonts w:ascii="Courier New" w:hAnsi="Courier New" w:hint="default"/>
      </w:rPr>
    </w:lvl>
    <w:lvl w:ilvl="5" w:tplc="C5586014">
      <w:start w:val="1"/>
      <w:numFmt w:val="bullet"/>
      <w:lvlText w:val=""/>
      <w:lvlJc w:val="left"/>
      <w:pPr>
        <w:ind w:left="4320" w:hanging="360"/>
      </w:pPr>
      <w:rPr>
        <w:rFonts w:ascii="Wingdings" w:hAnsi="Wingdings" w:hint="default"/>
      </w:rPr>
    </w:lvl>
    <w:lvl w:ilvl="6" w:tplc="61CA0850">
      <w:start w:val="1"/>
      <w:numFmt w:val="bullet"/>
      <w:lvlText w:val=""/>
      <w:lvlJc w:val="left"/>
      <w:pPr>
        <w:ind w:left="5040" w:hanging="360"/>
      </w:pPr>
      <w:rPr>
        <w:rFonts w:ascii="Symbol" w:hAnsi="Symbol" w:hint="default"/>
      </w:rPr>
    </w:lvl>
    <w:lvl w:ilvl="7" w:tplc="6854C700">
      <w:start w:val="1"/>
      <w:numFmt w:val="bullet"/>
      <w:lvlText w:val="o"/>
      <w:lvlJc w:val="left"/>
      <w:pPr>
        <w:ind w:left="5760" w:hanging="360"/>
      </w:pPr>
      <w:rPr>
        <w:rFonts w:ascii="Courier New" w:hAnsi="Courier New" w:hint="default"/>
      </w:rPr>
    </w:lvl>
    <w:lvl w:ilvl="8" w:tplc="F03AAA66">
      <w:start w:val="1"/>
      <w:numFmt w:val="bullet"/>
      <w:lvlText w:val=""/>
      <w:lvlJc w:val="left"/>
      <w:pPr>
        <w:ind w:left="6480" w:hanging="360"/>
      </w:pPr>
      <w:rPr>
        <w:rFonts w:ascii="Wingdings" w:hAnsi="Wingdings" w:hint="default"/>
      </w:rPr>
    </w:lvl>
  </w:abstractNum>
  <w:abstractNum w:abstractNumId="4" w15:restartNumberingAfterBreak="0">
    <w:nsid w:val="1CF34554"/>
    <w:multiLevelType w:val="hybridMultilevel"/>
    <w:tmpl w:val="B77EE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A4A64B"/>
    <w:multiLevelType w:val="hybridMultilevel"/>
    <w:tmpl w:val="7C6CC98A"/>
    <w:lvl w:ilvl="0" w:tplc="37EA66FE">
      <w:start w:val="1"/>
      <w:numFmt w:val="bullet"/>
      <w:lvlText w:val=""/>
      <w:lvlJc w:val="left"/>
      <w:pPr>
        <w:ind w:left="720" w:hanging="360"/>
      </w:pPr>
      <w:rPr>
        <w:rFonts w:ascii="Symbol" w:hAnsi="Symbol" w:hint="default"/>
      </w:rPr>
    </w:lvl>
    <w:lvl w:ilvl="1" w:tplc="7D5CC020">
      <w:start w:val="1"/>
      <w:numFmt w:val="bullet"/>
      <w:lvlText w:val="o"/>
      <w:lvlJc w:val="left"/>
      <w:pPr>
        <w:ind w:left="1440" w:hanging="360"/>
      </w:pPr>
      <w:rPr>
        <w:rFonts w:ascii="Courier New" w:hAnsi="Courier New" w:hint="default"/>
      </w:rPr>
    </w:lvl>
    <w:lvl w:ilvl="2" w:tplc="13DE9F78">
      <w:start w:val="1"/>
      <w:numFmt w:val="bullet"/>
      <w:lvlText w:val=""/>
      <w:lvlJc w:val="left"/>
      <w:pPr>
        <w:ind w:left="2160" w:hanging="360"/>
      </w:pPr>
      <w:rPr>
        <w:rFonts w:ascii="Wingdings" w:hAnsi="Wingdings" w:hint="default"/>
      </w:rPr>
    </w:lvl>
    <w:lvl w:ilvl="3" w:tplc="36A4BF3C">
      <w:start w:val="1"/>
      <w:numFmt w:val="bullet"/>
      <w:lvlText w:val=""/>
      <w:lvlJc w:val="left"/>
      <w:pPr>
        <w:ind w:left="2880" w:hanging="360"/>
      </w:pPr>
      <w:rPr>
        <w:rFonts w:ascii="Symbol" w:hAnsi="Symbol" w:hint="default"/>
      </w:rPr>
    </w:lvl>
    <w:lvl w:ilvl="4" w:tplc="E4E4BB78">
      <w:start w:val="1"/>
      <w:numFmt w:val="bullet"/>
      <w:lvlText w:val="o"/>
      <w:lvlJc w:val="left"/>
      <w:pPr>
        <w:ind w:left="3600" w:hanging="360"/>
      </w:pPr>
      <w:rPr>
        <w:rFonts w:ascii="Courier New" w:hAnsi="Courier New" w:hint="default"/>
      </w:rPr>
    </w:lvl>
    <w:lvl w:ilvl="5" w:tplc="7EAC0FF2">
      <w:start w:val="1"/>
      <w:numFmt w:val="bullet"/>
      <w:lvlText w:val=""/>
      <w:lvlJc w:val="left"/>
      <w:pPr>
        <w:ind w:left="4320" w:hanging="360"/>
      </w:pPr>
      <w:rPr>
        <w:rFonts w:ascii="Wingdings" w:hAnsi="Wingdings" w:hint="default"/>
      </w:rPr>
    </w:lvl>
    <w:lvl w:ilvl="6" w:tplc="30220536">
      <w:start w:val="1"/>
      <w:numFmt w:val="bullet"/>
      <w:lvlText w:val=""/>
      <w:lvlJc w:val="left"/>
      <w:pPr>
        <w:ind w:left="5040" w:hanging="360"/>
      </w:pPr>
      <w:rPr>
        <w:rFonts w:ascii="Symbol" w:hAnsi="Symbol" w:hint="default"/>
      </w:rPr>
    </w:lvl>
    <w:lvl w:ilvl="7" w:tplc="57E6646C">
      <w:start w:val="1"/>
      <w:numFmt w:val="bullet"/>
      <w:lvlText w:val="o"/>
      <w:lvlJc w:val="left"/>
      <w:pPr>
        <w:ind w:left="5760" w:hanging="360"/>
      </w:pPr>
      <w:rPr>
        <w:rFonts w:ascii="Courier New" w:hAnsi="Courier New" w:hint="default"/>
      </w:rPr>
    </w:lvl>
    <w:lvl w:ilvl="8" w:tplc="00921A0C">
      <w:start w:val="1"/>
      <w:numFmt w:val="bullet"/>
      <w:lvlText w:val=""/>
      <w:lvlJc w:val="left"/>
      <w:pPr>
        <w:ind w:left="6480" w:hanging="360"/>
      </w:pPr>
      <w:rPr>
        <w:rFonts w:ascii="Wingdings" w:hAnsi="Wingdings" w:hint="default"/>
      </w:rPr>
    </w:lvl>
  </w:abstractNum>
  <w:abstractNum w:abstractNumId="6"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67C954"/>
    <w:multiLevelType w:val="hybridMultilevel"/>
    <w:tmpl w:val="96F6CEEC"/>
    <w:lvl w:ilvl="0" w:tplc="E66693E8">
      <w:start w:val="1"/>
      <w:numFmt w:val="decimal"/>
      <w:lvlText w:val="%1."/>
      <w:lvlJc w:val="left"/>
      <w:pPr>
        <w:ind w:left="720" w:hanging="360"/>
      </w:pPr>
    </w:lvl>
    <w:lvl w:ilvl="1" w:tplc="B2DE7FDA">
      <w:start w:val="1"/>
      <w:numFmt w:val="lowerLetter"/>
      <w:lvlText w:val="%2."/>
      <w:lvlJc w:val="left"/>
      <w:pPr>
        <w:ind w:left="1440" w:hanging="360"/>
      </w:pPr>
    </w:lvl>
    <w:lvl w:ilvl="2" w:tplc="4BD20436">
      <w:start w:val="1"/>
      <w:numFmt w:val="lowerRoman"/>
      <w:lvlText w:val="%3."/>
      <w:lvlJc w:val="right"/>
      <w:pPr>
        <w:ind w:left="2160" w:hanging="180"/>
      </w:pPr>
    </w:lvl>
    <w:lvl w:ilvl="3" w:tplc="03E0FAA6">
      <w:start w:val="1"/>
      <w:numFmt w:val="decimal"/>
      <w:lvlText w:val="%4."/>
      <w:lvlJc w:val="left"/>
      <w:pPr>
        <w:ind w:left="2880" w:hanging="360"/>
      </w:pPr>
    </w:lvl>
    <w:lvl w:ilvl="4" w:tplc="485A392C">
      <w:start w:val="1"/>
      <w:numFmt w:val="lowerLetter"/>
      <w:lvlText w:val="%5."/>
      <w:lvlJc w:val="left"/>
      <w:pPr>
        <w:ind w:left="3600" w:hanging="360"/>
      </w:pPr>
    </w:lvl>
    <w:lvl w:ilvl="5" w:tplc="BBA2D102">
      <w:start w:val="1"/>
      <w:numFmt w:val="lowerRoman"/>
      <w:lvlText w:val="%6."/>
      <w:lvlJc w:val="right"/>
      <w:pPr>
        <w:ind w:left="4320" w:hanging="180"/>
      </w:pPr>
    </w:lvl>
    <w:lvl w:ilvl="6" w:tplc="CCAEDA46">
      <w:start w:val="1"/>
      <w:numFmt w:val="decimal"/>
      <w:lvlText w:val="%7."/>
      <w:lvlJc w:val="left"/>
      <w:pPr>
        <w:ind w:left="5040" w:hanging="360"/>
      </w:pPr>
    </w:lvl>
    <w:lvl w:ilvl="7" w:tplc="2AC2BEB6">
      <w:start w:val="1"/>
      <w:numFmt w:val="lowerLetter"/>
      <w:lvlText w:val="%8."/>
      <w:lvlJc w:val="left"/>
      <w:pPr>
        <w:ind w:left="5760" w:hanging="360"/>
      </w:pPr>
    </w:lvl>
    <w:lvl w:ilvl="8" w:tplc="F6E8C566">
      <w:start w:val="1"/>
      <w:numFmt w:val="lowerRoman"/>
      <w:lvlText w:val="%9."/>
      <w:lvlJc w:val="right"/>
      <w:pPr>
        <w:ind w:left="6480" w:hanging="180"/>
      </w:pPr>
    </w:lvl>
  </w:abstractNum>
  <w:abstractNum w:abstractNumId="10" w15:restartNumberingAfterBreak="0">
    <w:nsid w:val="44A10E67"/>
    <w:multiLevelType w:val="hybridMultilevel"/>
    <w:tmpl w:val="55063B04"/>
    <w:lvl w:ilvl="0" w:tplc="FFFFFFFF">
      <w:start w:val="15"/>
      <w:numFmt w:val="bullet"/>
      <w:lvlText w:val="-"/>
      <w:lvlJc w:val="left"/>
      <w:pPr>
        <w:ind w:left="1800" w:hanging="360"/>
      </w:pPr>
      <w:rPr>
        <w:rFonts w:ascii="Montserrat" w:hAnsi="Montserrat"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4F9A6DAD"/>
    <w:multiLevelType w:val="hybridMultilevel"/>
    <w:tmpl w:val="B19C3D4C"/>
    <w:lvl w:ilvl="0" w:tplc="08E45BAC">
      <w:start w:val="15"/>
      <w:numFmt w:val="bullet"/>
      <w:lvlText w:val="-"/>
      <w:lvlJc w:val="left"/>
      <w:pPr>
        <w:ind w:left="1800" w:hanging="360"/>
      </w:pPr>
      <w:rPr>
        <w:rFonts w:ascii="Montserrat" w:hAnsi="Montserrat" w:hint="default"/>
      </w:rPr>
    </w:lvl>
    <w:lvl w:ilvl="1" w:tplc="2E2011B8">
      <w:start w:val="1"/>
      <w:numFmt w:val="bullet"/>
      <w:lvlText w:val="o"/>
      <w:lvlJc w:val="left"/>
      <w:pPr>
        <w:ind w:left="1440" w:hanging="360"/>
      </w:pPr>
      <w:rPr>
        <w:rFonts w:ascii="Courier New" w:hAnsi="Courier New" w:hint="default"/>
      </w:rPr>
    </w:lvl>
    <w:lvl w:ilvl="2" w:tplc="2310818A">
      <w:start w:val="1"/>
      <w:numFmt w:val="bullet"/>
      <w:lvlText w:val=""/>
      <w:lvlJc w:val="left"/>
      <w:pPr>
        <w:ind w:left="2160" w:hanging="360"/>
      </w:pPr>
      <w:rPr>
        <w:rFonts w:ascii="Wingdings" w:hAnsi="Wingdings" w:hint="default"/>
      </w:rPr>
    </w:lvl>
    <w:lvl w:ilvl="3" w:tplc="26308A0E">
      <w:start w:val="1"/>
      <w:numFmt w:val="bullet"/>
      <w:lvlText w:val=""/>
      <w:lvlJc w:val="left"/>
      <w:pPr>
        <w:ind w:left="2880" w:hanging="360"/>
      </w:pPr>
      <w:rPr>
        <w:rFonts w:ascii="Symbol" w:hAnsi="Symbol" w:hint="default"/>
      </w:rPr>
    </w:lvl>
    <w:lvl w:ilvl="4" w:tplc="E62E1544">
      <w:start w:val="1"/>
      <w:numFmt w:val="bullet"/>
      <w:lvlText w:val="o"/>
      <w:lvlJc w:val="left"/>
      <w:pPr>
        <w:ind w:left="3600" w:hanging="360"/>
      </w:pPr>
      <w:rPr>
        <w:rFonts w:ascii="Courier New" w:hAnsi="Courier New" w:hint="default"/>
      </w:rPr>
    </w:lvl>
    <w:lvl w:ilvl="5" w:tplc="1C625574">
      <w:start w:val="1"/>
      <w:numFmt w:val="bullet"/>
      <w:lvlText w:val=""/>
      <w:lvlJc w:val="left"/>
      <w:pPr>
        <w:ind w:left="4320" w:hanging="360"/>
      </w:pPr>
      <w:rPr>
        <w:rFonts w:ascii="Wingdings" w:hAnsi="Wingdings" w:hint="default"/>
      </w:rPr>
    </w:lvl>
    <w:lvl w:ilvl="6" w:tplc="DE46D6DA">
      <w:start w:val="1"/>
      <w:numFmt w:val="bullet"/>
      <w:lvlText w:val=""/>
      <w:lvlJc w:val="left"/>
      <w:pPr>
        <w:ind w:left="5040" w:hanging="360"/>
      </w:pPr>
      <w:rPr>
        <w:rFonts w:ascii="Symbol" w:hAnsi="Symbol" w:hint="default"/>
      </w:rPr>
    </w:lvl>
    <w:lvl w:ilvl="7" w:tplc="103E6448">
      <w:start w:val="1"/>
      <w:numFmt w:val="bullet"/>
      <w:lvlText w:val="o"/>
      <w:lvlJc w:val="left"/>
      <w:pPr>
        <w:ind w:left="5760" w:hanging="360"/>
      </w:pPr>
      <w:rPr>
        <w:rFonts w:ascii="Courier New" w:hAnsi="Courier New" w:hint="default"/>
      </w:rPr>
    </w:lvl>
    <w:lvl w:ilvl="8" w:tplc="774ABF42">
      <w:start w:val="1"/>
      <w:numFmt w:val="bullet"/>
      <w:lvlText w:val=""/>
      <w:lvlJc w:val="left"/>
      <w:pPr>
        <w:ind w:left="6480" w:hanging="360"/>
      </w:pPr>
      <w:rPr>
        <w:rFonts w:ascii="Wingdings" w:hAnsi="Wingdings" w:hint="default"/>
      </w:rPr>
    </w:lvl>
  </w:abstractNum>
  <w:abstractNum w:abstractNumId="12"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A0A5F71"/>
    <w:multiLevelType w:val="hybridMultilevel"/>
    <w:tmpl w:val="677C9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21372371">
    <w:abstractNumId w:val="3"/>
  </w:num>
  <w:num w:numId="2" w16cid:durableId="634524637">
    <w:abstractNumId w:val="9"/>
  </w:num>
  <w:num w:numId="3" w16cid:durableId="2167648">
    <w:abstractNumId w:val="1"/>
  </w:num>
  <w:num w:numId="4" w16cid:durableId="414015007">
    <w:abstractNumId w:val="5"/>
  </w:num>
  <w:num w:numId="5" w16cid:durableId="75908834">
    <w:abstractNumId w:val="11"/>
  </w:num>
  <w:num w:numId="6" w16cid:durableId="1743136677">
    <w:abstractNumId w:val="6"/>
  </w:num>
  <w:num w:numId="7" w16cid:durableId="375356887">
    <w:abstractNumId w:val="8"/>
  </w:num>
  <w:num w:numId="8" w16cid:durableId="531773726">
    <w:abstractNumId w:val="13"/>
  </w:num>
  <w:num w:numId="9" w16cid:durableId="1089892663">
    <w:abstractNumId w:val="10"/>
  </w:num>
  <w:num w:numId="10" w16cid:durableId="1592202427">
    <w:abstractNumId w:val="12"/>
  </w:num>
  <w:num w:numId="11" w16cid:durableId="1392339188">
    <w:abstractNumId w:val="2"/>
  </w:num>
  <w:num w:numId="12" w16cid:durableId="147330359">
    <w:abstractNumId w:val="0"/>
  </w:num>
  <w:num w:numId="13" w16cid:durableId="1218779494">
    <w:abstractNumId w:val="7"/>
  </w:num>
  <w:num w:numId="14" w16cid:durableId="1560361615">
    <w:abstractNumId w:val="14"/>
  </w:num>
  <w:num w:numId="15" w16cid:durableId="6300892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302CE"/>
    <w:rsid w:val="00045913"/>
    <w:rsid w:val="00050639"/>
    <w:rsid w:val="00051042"/>
    <w:rsid w:val="00051873"/>
    <w:rsid w:val="00062FA9"/>
    <w:rsid w:val="00072609"/>
    <w:rsid w:val="00076562"/>
    <w:rsid w:val="000B5D7B"/>
    <w:rsid w:val="000C1BDD"/>
    <w:rsid w:val="000C3805"/>
    <w:rsid w:val="000D2494"/>
    <w:rsid w:val="000E5A4F"/>
    <w:rsid w:val="00106C68"/>
    <w:rsid w:val="00122292"/>
    <w:rsid w:val="0012229C"/>
    <w:rsid w:val="001224C6"/>
    <w:rsid w:val="0013389C"/>
    <w:rsid w:val="00135B97"/>
    <w:rsid w:val="001415BA"/>
    <w:rsid w:val="0017217D"/>
    <w:rsid w:val="001729AE"/>
    <w:rsid w:val="00190628"/>
    <w:rsid w:val="001A06DD"/>
    <w:rsid w:val="001A0C80"/>
    <w:rsid w:val="001A3612"/>
    <w:rsid w:val="001B212B"/>
    <w:rsid w:val="001B52D8"/>
    <w:rsid w:val="001B6E82"/>
    <w:rsid w:val="001F06C6"/>
    <w:rsid w:val="00206C8A"/>
    <w:rsid w:val="00211268"/>
    <w:rsid w:val="00247C96"/>
    <w:rsid w:val="00251F5B"/>
    <w:rsid w:val="002634FD"/>
    <w:rsid w:val="00271A45"/>
    <w:rsid w:val="002759A8"/>
    <w:rsid w:val="00281456"/>
    <w:rsid w:val="00283E8E"/>
    <w:rsid w:val="00290A00"/>
    <w:rsid w:val="00292EB5"/>
    <w:rsid w:val="002B0F9B"/>
    <w:rsid w:val="002B2876"/>
    <w:rsid w:val="002C74AD"/>
    <w:rsid w:val="002D7921"/>
    <w:rsid w:val="002D7C2E"/>
    <w:rsid w:val="002E3486"/>
    <w:rsid w:val="002E7C78"/>
    <w:rsid w:val="0032070B"/>
    <w:rsid w:val="0032157D"/>
    <w:rsid w:val="003318F8"/>
    <w:rsid w:val="00333FC6"/>
    <w:rsid w:val="00350092"/>
    <w:rsid w:val="00350C1D"/>
    <w:rsid w:val="00356D8B"/>
    <w:rsid w:val="00363C09"/>
    <w:rsid w:val="003674B1"/>
    <w:rsid w:val="00370E8C"/>
    <w:rsid w:val="003A4920"/>
    <w:rsid w:val="003B14A9"/>
    <w:rsid w:val="003C4187"/>
    <w:rsid w:val="003D418F"/>
    <w:rsid w:val="003D5FE6"/>
    <w:rsid w:val="003F20C3"/>
    <w:rsid w:val="004335CD"/>
    <w:rsid w:val="00454B12"/>
    <w:rsid w:val="00466A30"/>
    <w:rsid w:val="00467369"/>
    <w:rsid w:val="00470C41"/>
    <w:rsid w:val="004947B9"/>
    <w:rsid w:val="00496B5C"/>
    <w:rsid w:val="004A29F6"/>
    <w:rsid w:val="004E6FB0"/>
    <w:rsid w:val="004E70A8"/>
    <w:rsid w:val="00500658"/>
    <w:rsid w:val="00500E47"/>
    <w:rsid w:val="0050205B"/>
    <w:rsid w:val="0053733E"/>
    <w:rsid w:val="0054032D"/>
    <w:rsid w:val="00541188"/>
    <w:rsid w:val="005503DA"/>
    <w:rsid w:val="00557E34"/>
    <w:rsid w:val="00560B09"/>
    <w:rsid w:val="00562E51"/>
    <w:rsid w:val="00567357"/>
    <w:rsid w:val="005729E1"/>
    <w:rsid w:val="00574B33"/>
    <w:rsid w:val="00580EC1"/>
    <w:rsid w:val="00582255"/>
    <w:rsid w:val="00593C4A"/>
    <w:rsid w:val="00593FAF"/>
    <w:rsid w:val="005A5DDB"/>
    <w:rsid w:val="005C4EF6"/>
    <w:rsid w:val="0061204C"/>
    <w:rsid w:val="0061218A"/>
    <w:rsid w:val="0061313C"/>
    <w:rsid w:val="006147D8"/>
    <w:rsid w:val="0062630D"/>
    <w:rsid w:val="006343B0"/>
    <w:rsid w:val="006554FF"/>
    <w:rsid w:val="00657B7F"/>
    <w:rsid w:val="006644D3"/>
    <w:rsid w:val="006677DC"/>
    <w:rsid w:val="00667D09"/>
    <w:rsid w:val="0067501E"/>
    <w:rsid w:val="006C5F26"/>
    <w:rsid w:val="006E7411"/>
    <w:rsid w:val="00705FC4"/>
    <w:rsid w:val="00741F92"/>
    <w:rsid w:val="00745E26"/>
    <w:rsid w:val="0075132C"/>
    <w:rsid w:val="0076704B"/>
    <w:rsid w:val="0078043E"/>
    <w:rsid w:val="00780A65"/>
    <w:rsid w:val="007A0B4A"/>
    <w:rsid w:val="007C5641"/>
    <w:rsid w:val="007D41E7"/>
    <w:rsid w:val="007D6D0E"/>
    <w:rsid w:val="007E5A81"/>
    <w:rsid w:val="007F287F"/>
    <w:rsid w:val="00813BC5"/>
    <w:rsid w:val="00817E26"/>
    <w:rsid w:val="008204DE"/>
    <w:rsid w:val="00833BFE"/>
    <w:rsid w:val="0084465A"/>
    <w:rsid w:val="00873538"/>
    <w:rsid w:val="008742A6"/>
    <w:rsid w:val="008955DC"/>
    <w:rsid w:val="008B2E96"/>
    <w:rsid w:val="008B5137"/>
    <w:rsid w:val="008D2369"/>
    <w:rsid w:val="008D2AD1"/>
    <w:rsid w:val="008E025A"/>
    <w:rsid w:val="00904CBB"/>
    <w:rsid w:val="00910F4B"/>
    <w:rsid w:val="00931AD9"/>
    <w:rsid w:val="00933226"/>
    <w:rsid w:val="00937FB9"/>
    <w:rsid w:val="00950C4E"/>
    <w:rsid w:val="00957CBC"/>
    <w:rsid w:val="0097613F"/>
    <w:rsid w:val="009967B4"/>
    <w:rsid w:val="009A5F11"/>
    <w:rsid w:val="009A6D17"/>
    <w:rsid w:val="009B5B2B"/>
    <w:rsid w:val="009C4FBB"/>
    <w:rsid w:val="009C5443"/>
    <w:rsid w:val="009D7275"/>
    <w:rsid w:val="009E3257"/>
    <w:rsid w:val="009E4029"/>
    <w:rsid w:val="009F40B5"/>
    <w:rsid w:val="00A01017"/>
    <w:rsid w:val="00A35A25"/>
    <w:rsid w:val="00A377FF"/>
    <w:rsid w:val="00A41B02"/>
    <w:rsid w:val="00A6057B"/>
    <w:rsid w:val="00A8273E"/>
    <w:rsid w:val="00AB2171"/>
    <w:rsid w:val="00AC5597"/>
    <w:rsid w:val="00AD5D77"/>
    <w:rsid w:val="00B12824"/>
    <w:rsid w:val="00B1283F"/>
    <w:rsid w:val="00B20307"/>
    <w:rsid w:val="00B414EA"/>
    <w:rsid w:val="00B579A2"/>
    <w:rsid w:val="00B63F32"/>
    <w:rsid w:val="00B67317"/>
    <w:rsid w:val="00B75E7B"/>
    <w:rsid w:val="00B8233D"/>
    <w:rsid w:val="00BA2F9A"/>
    <w:rsid w:val="00BD01DA"/>
    <w:rsid w:val="00BF0ECE"/>
    <w:rsid w:val="00C07D29"/>
    <w:rsid w:val="00C2423A"/>
    <w:rsid w:val="00C40969"/>
    <w:rsid w:val="00C466E6"/>
    <w:rsid w:val="00C54177"/>
    <w:rsid w:val="00C541AA"/>
    <w:rsid w:val="00C57F1C"/>
    <w:rsid w:val="00C70474"/>
    <w:rsid w:val="00C7291D"/>
    <w:rsid w:val="00C92335"/>
    <w:rsid w:val="00C934B1"/>
    <w:rsid w:val="00C94574"/>
    <w:rsid w:val="00CC4D96"/>
    <w:rsid w:val="00CD62DC"/>
    <w:rsid w:val="00CE120C"/>
    <w:rsid w:val="00CF51B5"/>
    <w:rsid w:val="00CF5E4D"/>
    <w:rsid w:val="00D04128"/>
    <w:rsid w:val="00D05648"/>
    <w:rsid w:val="00D05887"/>
    <w:rsid w:val="00D10EB8"/>
    <w:rsid w:val="00D1314B"/>
    <w:rsid w:val="00D2516B"/>
    <w:rsid w:val="00D35817"/>
    <w:rsid w:val="00D44AC5"/>
    <w:rsid w:val="00D53965"/>
    <w:rsid w:val="00D57FB3"/>
    <w:rsid w:val="00D6758B"/>
    <w:rsid w:val="00D94B88"/>
    <w:rsid w:val="00D94EC6"/>
    <w:rsid w:val="00DB4F12"/>
    <w:rsid w:val="00DC492A"/>
    <w:rsid w:val="00DD77A7"/>
    <w:rsid w:val="00E015C4"/>
    <w:rsid w:val="00E06F54"/>
    <w:rsid w:val="00E3521E"/>
    <w:rsid w:val="00E571C7"/>
    <w:rsid w:val="00E60F97"/>
    <w:rsid w:val="00E7515E"/>
    <w:rsid w:val="00E7619F"/>
    <w:rsid w:val="00E90E95"/>
    <w:rsid w:val="00E94CB8"/>
    <w:rsid w:val="00E94F85"/>
    <w:rsid w:val="00EA2E15"/>
    <w:rsid w:val="00EA6B3A"/>
    <w:rsid w:val="00EA6EFC"/>
    <w:rsid w:val="00EB27E0"/>
    <w:rsid w:val="00EB78E2"/>
    <w:rsid w:val="00EF527C"/>
    <w:rsid w:val="00F013B7"/>
    <w:rsid w:val="00F01B52"/>
    <w:rsid w:val="00F06C39"/>
    <w:rsid w:val="00F166E6"/>
    <w:rsid w:val="00F22C64"/>
    <w:rsid w:val="00F5385A"/>
    <w:rsid w:val="00F72F55"/>
    <w:rsid w:val="00F86B89"/>
    <w:rsid w:val="00F86C93"/>
    <w:rsid w:val="00FA043F"/>
    <w:rsid w:val="00FB084E"/>
    <w:rsid w:val="00FB303E"/>
    <w:rsid w:val="00FD2189"/>
    <w:rsid w:val="00FD3FC7"/>
    <w:rsid w:val="080EFCAA"/>
    <w:rsid w:val="1A3A0883"/>
    <w:rsid w:val="2684BDD0"/>
    <w:rsid w:val="31B7C350"/>
    <w:rsid w:val="39FD21FE"/>
    <w:rsid w:val="61C24E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fr-FR"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fr-FR"/>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fr-FR"/>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6"/>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fr-FR"/>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fr-FR"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fr-FR"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ityengagementhub.org/resource/cea-toolki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wp-content/uploads/sites/2/2021/11/RCRC_CEA_Guide_2022.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45D7E94-34C5-478E-9836-24B3D296F3EF}"/>
</file>

<file path=customXml/itemProps3.xml><?xml version="1.0" encoding="utf-8"?>
<ds:datastoreItem xmlns:ds="http://schemas.openxmlformats.org/officeDocument/2006/customXml" ds:itemID="{9A90FEFC-FCDF-4CF6-A079-889131889D50}">
  <ds:schemaRefs>
    <ds:schemaRef ds:uri="http://schemas.microsoft.com/sharepoint/v3/contenttype/forms"/>
  </ds:schemaRefs>
</ds:datastoreItem>
</file>

<file path=customXml/itemProps4.xml><?xml version="1.0" encoding="utf-8"?>
<ds:datastoreItem xmlns:ds="http://schemas.openxmlformats.org/officeDocument/2006/customXml" ds:itemID="{3544DB3B-5FF6-4AE0-BAEE-9282BAE4A8AE}">
  <ds:schemaRefs>
    <ds:schemaRef ds:uri="http://schemas.microsoft.com/office/2006/metadata/properties"/>
    <ds:schemaRef ds:uri="http://schemas.microsoft.com/office/infopath/2007/PartnerControls"/>
    <ds:schemaRef ds:uri="133e5729-7bb1-4685-bd1f-c5e580a2ee33"/>
    <ds:schemaRef ds:uri="cf328f71-004c-4ec5-8aac-4c1fe87c002c"/>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731</Words>
  <Characters>4167</Characters>
  <Application>Microsoft Office Word</Application>
  <DocSecurity>0</DocSecurity>
  <Lines>34</Lines>
  <Paragraphs>9</Paragraphs>
  <ScaleCrop>false</ScaleCrop>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Stacy Velasco</cp:lastModifiedBy>
  <cp:revision>4</cp:revision>
  <dcterms:created xsi:type="dcterms:W3CDTF">2022-07-13T14:59:00Z</dcterms:created>
  <dcterms:modified xsi:type="dcterms:W3CDTF">2022-10-26T12:28:00Z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3,4,5</vt:lpwstr>
  </property>
  <property fmtid="{D5CDD505-2E9C-101B-9397-08002B2CF9AE}" pid="6" name="ClassificationContentMarkingFooterFontProps">
    <vt:lpwstr>#000000,10,Calibri</vt:lpwstr>
  </property>
  <property fmtid="{D5CDD505-2E9C-101B-9397-08002B2CF9AE}" pid="7" name="ClassificationContentMarkingFooterText">
    <vt:lpwstr>Restricted</vt:lpwstr>
  </property>
  <property fmtid="{D5CDD505-2E9C-101B-9397-08002B2CF9AE}" pid="8" name="MSIP_Label_60843f49-ba84-4571-b1b5-bbf501ecdde5_Enabled">
    <vt:lpwstr>true</vt:lpwstr>
  </property>
  <property fmtid="{D5CDD505-2E9C-101B-9397-08002B2CF9AE}" pid="9" name="MSIP_Label_60843f49-ba84-4571-b1b5-bbf501ecdde5_SetDate">
    <vt:lpwstr>2022-06-09T15:16:11Z</vt:lpwstr>
  </property>
  <property fmtid="{D5CDD505-2E9C-101B-9397-08002B2CF9AE}" pid="10" name="MSIP_Label_60843f49-ba84-4571-b1b5-bbf501ecdde5_Method">
    <vt:lpwstr>Privileged</vt:lpwstr>
  </property>
  <property fmtid="{D5CDD505-2E9C-101B-9397-08002B2CF9AE}" pid="11" name="MSIP_Label_60843f49-ba84-4571-b1b5-bbf501ecdde5_Name">
    <vt:lpwstr>Red Cross - Red Crescent Internal</vt:lpwstr>
  </property>
  <property fmtid="{D5CDD505-2E9C-101B-9397-08002B2CF9AE}" pid="12" name="MSIP_Label_60843f49-ba84-4571-b1b5-bbf501ecdde5_SiteId">
    <vt:lpwstr>a2b53be5-734e-4e6c-ab0d-d184f60fd917</vt:lpwstr>
  </property>
  <property fmtid="{D5CDD505-2E9C-101B-9397-08002B2CF9AE}" pid="13" name="MSIP_Label_60843f49-ba84-4571-b1b5-bbf501ecdde5_ActionId">
    <vt:lpwstr>86c50db0-2d43-4818-b029-aefaa6093b15</vt:lpwstr>
  </property>
  <property fmtid="{D5CDD505-2E9C-101B-9397-08002B2CF9AE}" pid="14" name="MSIP_Label_60843f49-ba84-4571-b1b5-bbf501ecdde5_ContentBits">
    <vt:lpwstr>2</vt:lpwstr>
  </property>
  <property fmtid="{D5CDD505-2E9C-101B-9397-08002B2CF9AE}" pid="15" name="Order">
    <vt:r8>5826900</vt:r8>
  </property>
  <property fmtid="{D5CDD505-2E9C-101B-9397-08002B2CF9AE}" pid="16" name="xd_Signature">
    <vt:bool>false</vt:bool>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MediaServiceImageTags">
    <vt:lpwstr/>
  </property>
</Properties>
</file>